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689FA" w14:textId="77777777" w:rsidR="008938B6" w:rsidRPr="003A68D2" w:rsidRDefault="008938B6" w:rsidP="008938B6">
      <w:pPr>
        <w:spacing w:after="0" w:line="360" w:lineRule="auto"/>
        <w:jc w:val="center"/>
        <w:rPr>
          <w:rFonts w:cs="Guttman Drogolin"/>
          <w:b/>
          <w:bCs/>
          <w:sz w:val="40"/>
          <w:szCs w:val="40"/>
          <w:rtl/>
        </w:rPr>
      </w:pPr>
      <w:r w:rsidRPr="003A68D2">
        <w:rPr>
          <w:rFonts w:cs="Guttman Drogolin" w:hint="cs"/>
          <w:b/>
          <w:bCs/>
          <w:sz w:val="40"/>
          <w:szCs w:val="40"/>
          <w:rtl/>
        </w:rPr>
        <w:t>התנגשות ערכים בכיבוד אב ואם</w:t>
      </w:r>
      <w:r>
        <w:rPr>
          <w:rFonts w:cs="Guttman Drogolin" w:hint="cs"/>
          <w:b/>
          <w:bCs/>
          <w:sz w:val="40"/>
          <w:szCs w:val="40"/>
          <w:rtl/>
        </w:rPr>
        <w:t>/מעובד</w:t>
      </w:r>
    </w:p>
    <w:p w14:paraId="58D7FFC7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</w:p>
    <w:p w14:paraId="717C6BD4" w14:textId="77777777" w:rsidR="008938B6" w:rsidRDefault="008938B6" w:rsidP="008938B6">
      <w:pPr>
        <w:spacing w:after="0" w:line="360" w:lineRule="auto"/>
        <w:jc w:val="center"/>
        <w:rPr>
          <w:rFonts w:cs="Guttman Drogolin"/>
          <w:b/>
          <w:bCs/>
          <w:sz w:val="24"/>
          <w:szCs w:val="24"/>
          <w:rtl/>
        </w:rPr>
      </w:pPr>
      <w:r>
        <w:rPr>
          <w:rFonts w:cs="Guttman Drogolin" w:hint="cs"/>
          <w:b/>
          <w:bCs/>
          <w:sz w:val="24"/>
          <w:szCs w:val="24"/>
          <w:rtl/>
        </w:rPr>
        <w:t xml:space="preserve">כללים שונים בהתנגשות ערכים </w:t>
      </w:r>
    </w:p>
    <w:p w14:paraId="4D418B7E" w14:textId="77777777" w:rsidR="008938B6" w:rsidRPr="00C40972" w:rsidRDefault="008938B6" w:rsidP="008938B6">
      <w:pPr>
        <w:spacing w:after="0" w:line="360" w:lineRule="auto"/>
        <w:jc w:val="center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 xml:space="preserve">שולחן ערוך יורה דעה הלכות כבוד אב ואם סימן </w:t>
      </w:r>
      <w:proofErr w:type="spellStart"/>
      <w:r w:rsidRPr="00C40972">
        <w:rPr>
          <w:rFonts w:cs="Guttman Drogolin"/>
          <w:b/>
          <w:bCs/>
          <w:sz w:val="24"/>
          <w:szCs w:val="24"/>
          <w:rtl/>
        </w:rPr>
        <w:t>רמ</w:t>
      </w:r>
      <w:proofErr w:type="spellEnd"/>
    </w:p>
    <w:p w14:paraId="669134C4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 xml:space="preserve">סעיף </w:t>
      </w:r>
      <w:proofErr w:type="spellStart"/>
      <w:r w:rsidRPr="00C40972">
        <w:rPr>
          <w:rFonts w:cs="Guttman Drogolin"/>
          <w:b/>
          <w:bCs/>
          <w:sz w:val="24"/>
          <w:szCs w:val="24"/>
          <w:rtl/>
        </w:rPr>
        <w:t>יג</w:t>
      </w:r>
      <w:proofErr w:type="spellEnd"/>
    </w:p>
    <w:p w14:paraId="6BA234CB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/>
          <w:sz w:val="24"/>
          <w:szCs w:val="24"/>
          <w:rtl/>
        </w:rPr>
        <w:t xml:space="preserve">טו (ח) &lt;טו&gt; ב&gt; תלמוד תורה גדול מכבוד אב ואם. </w:t>
      </w:r>
    </w:p>
    <w:p w14:paraId="48D037AC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>סעיף טו</w:t>
      </w:r>
    </w:p>
    <w:p w14:paraId="76F498EC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proofErr w:type="spellStart"/>
      <w:r w:rsidRPr="00C40972">
        <w:rPr>
          <w:rFonts w:cs="Guttman Drogolin"/>
          <w:sz w:val="24"/>
          <w:szCs w:val="24"/>
          <w:rtl/>
        </w:rPr>
        <w:t>כו</w:t>
      </w:r>
      <w:proofErr w:type="spellEnd"/>
      <w:r w:rsidRPr="00C40972">
        <w:rPr>
          <w:rFonts w:cs="Guttman Drogolin"/>
          <w:sz w:val="24"/>
          <w:szCs w:val="24"/>
          <w:rtl/>
        </w:rPr>
        <w:t>] אמר לו אביו לעבור על דברי תורה, בין מצות עשה בין מצות לא תעשה, ואפילו (</w:t>
      </w:r>
      <w:proofErr w:type="spellStart"/>
      <w:r w:rsidRPr="00C40972">
        <w:rPr>
          <w:rFonts w:cs="Guttman Drogolin"/>
          <w:sz w:val="24"/>
          <w:szCs w:val="24"/>
          <w:rtl/>
        </w:rPr>
        <w:t>יג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) מצוה של דבריהם, </w:t>
      </w:r>
      <w:proofErr w:type="spellStart"/>
      <w:r w:rsidRPr="00C40972">
        <w:rPr>
          <w:rFonts w:cs="Guttman Drogolin"/>
          <w:sz w:val="24"/>
          <w:szCs w:val="24"/>
          <w:rtl/>
        </w:rPr>
        <w:t>יז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(יד) לא ישמע לו. </w:t>
      </w:r>
    </w:p>
    <w:p w14:paraId="209B94F7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 xml:space="preserve">סעיף </w:t>
      </w:r>
      <w:proofErr w:type="spellStart"/>
      <w:r w:rsidRPr="00C40972">
        <w:rPr>
          <w:rFonts w:cs="Guttman Drogolin"/>
          <w:b/>
          <w:bCs/>
          <w:sz w:val="24"/>
          <w:szCs w:val="24"/>
          <w:rtl/>
        </w:rPr>
        <w:t>טז</w:t>
      </w:r>
      <w:proofErr w:type="spellEnd"/>
    </w:p>
    <w:p w14:paraId="0BAE8BB2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proofErr w:type="spellStart"/>
      <w:r w:rsidRPr="00C40972">
        <w:rPr>
          <w:rFonts w:cs="Guttman Drogolin"/>
          <w:sz w:val="24"/>
          <w:szCs w:val="24"/>
          <w:rtl/>
        </w:rPr>
        <w:t>כז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] האב </w:t>
      </w:r>
      <w:proofErr w:type="spellStart"/>
      <w:r w:rsidRPr="00C40972">
        <w:rPr>
          <w:rFonts w:cs="Guttman Drogolin"/>
          <w:sz w:val="24"/>
          <w:szCs w:val="24"/>
          <w:rtl/>
        </w:rPr>
        <w:t>שצוה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את בנו שלא ידבר עם פלוני ושלא </w:t>
      </w:r>
      <w:proofErr w:type="spellStart"/>
      <w:r w:rsidRPr="00C40972">
        <w:rPr>
          <w:rFonts w:cs="Guttman Drogolin"/>
          <w:sz w:val="24"/>
          <w:szCs w:val="24"/>
          <w:rtl/>
        </w:rPr>
        <w:t>ימחול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לו עד זמן קצוב, והבן היה רוצה להתפייס מיד לולי צוואת אביו, </w:t>
      </w:r>
      <w:proofErr w:type="spellStart"/>
      <w:r w:rsidRPr="00C40972">
        <w:rPr>
          <w:rFonts w:cs="Guttman Drogolin"/>
          <w:sz w:val="24"/>
          <w:szCs w:val="24"/>
          <w:rtl/>
        </w:rPr>
        <w:t>יח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&lt;</w:t>
      </w:r>
      <w:proofErr w:type="spellStart"/>
      <w:r w:rsidRPr="00C40972">
        <w:rPr>
          <w:rFonts w:cs="Guttman Drogolin"/>
          <w:sz w:val="24"/>
          <w:szCs w:val="24"/>
          <w:rtl/>
        </w:rPr>
        <w:t>טז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&gt; אין לו לחוש לצוואתו. </w:t>
      </w:r>
    </w:p>
    <w:p w14:paraId="4231D579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 xml:space="preserve">סעיף </w:t>
      </w:r>
      <w:proofErr w:type="spellStart"/>
      <w:r w:rsidRPr="00C40972">
        <w:rPr>
          <w:rFonts w:cs="Guttman Drogolin"/>
          <w:b/>
          <w:bCs/>
          <w:sz w:val="24"/>
          <w:szCs w:val="24"/>
          <w:rtl/>
        </w:rPr>
        <w:t>יט</w:t>
      </w:r>
      <w:proofErr w:type="spellEnd"/>
    </w:p>
    <w:p w14:paraId="0CD76A70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/>
          <w:sz w:val="24"/>
          <w:szCs w:val="24"/>
          <w:rtl/>
        </w:rPr>
        <w:t xml:space="preserve">ל] אסור לאדם להכביד עולו על בניו ולדקדק בכבודו עמהם, שלא יביאם לידי מכשול, אלא </w:t>
      </w:r>
      <w:proofErr w:type="spellStart"/>
      <w:r w:rsidRPr="00C40972">
        <w:rPr>
          <w:rFonts w:cs="Guttman Drogolin"/>
          <w:sz w:val="24"/>
          <w:szCs w:val="24"/>
          <w:rtl/>
        </w:rPr>
        <w:t>ימחול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ויעלים עיניו מהם, שהאב (</w:t>
      </w:r>
      <w:proofErr w:type="spellStart"/>
      <w:r w:rsidRPr="00C40972">
        <w:rPr>
          <w:rFonts w:cs="Guttman Drogolin"/>
          <w:sz w:val="24"/>
          <w:szCs w:val="24"/>
          <w:rtl/>
        </w:rPr>
        <w:t>טז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) שמחל על כבודו, כבודו מחול. </w:t>
      </w:r>
    </w:p>
    <w:p w14:paraId="3F1AF83F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>סעיף כ</w:t>
      </w:r>
    </w:p>
    <w:p w14:paraId="08B24D26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/>
          <w:sz w:val="24"/>
          <w:szCs w:val="24"/>
          <w:rtl/>
        </w:rPr>
        <w:t xml:space="preserve">המכה לבנו גדול, היו </w:t>
      </w:r>
      <w:proofErr w:type="spellStart"/>
      <w:r w:rsidRPr="00C40972">
        <w:rPr>
          <w:rFonts w:cs="Guttman Drogolin"/>
          <w:sz w:val="24"/>
          <w:szCs w:val="24"/>
          <w:rtl/>
        </w:rPr>
        <w:t>מנדין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אותו, שהרי עובר על לפני עור לא </w:t>
      </w:r>
      <w:proofErr w:type="spellStart"/>
      <w:r w:rsidRPr="00C40972">
        <w:rPr>
          <w:rFonts w:cs="Guttman Drogolin"/>
          <w:sz w:val="24"/>
          <w:szCs w:val="24"/>
          <w:rtl/>
        </w:rPr>
        <w:t>תתן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מכשול (ויקרא </w:t>
      </w:r>
      <w:proofErr w:type="spellStart"/>
      <w:r w:rsidRPr="00C40972">
        <w:rPr>
          <w:rFonts w:cs="Guttman Drogolin"/>
          <w:sz w:val="24"/>
          <w:szCs w:val="24"/>
          <w:rtl/>
        </w:rPr>
        <w:t>יט</w:t>
      </w:r>
      <w:proofErr w:type="spellEnd"/>
      <w:r w:rsidRPr="00C40972">
        <w:rPr>
          <w:rFonts w:cs="Guttman Drogolin"/>
          <w:sz w:val="24"/>
          <w:szCs w:val="24"/>
          <w:rtl/>
        </w:rPr>
        <w:t>, יד). לא] ולא מקרי גדול לדבר זה, רק (</w:t>
      </w:r>
      <w:proofErr w:type="spellStart"/>
      <w:r w:rsidRPr="00C40972">
        <w:rPr>
          <w:rFonts w:cs="Guttman Drogolin"/>
          <w:sz w:val="24"/>
          <w:szCs w:val="24"/>
          <w:rtl/>
        </w:rPr>
        <w:t>יז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) אחר </w:t>
      </w:r>
      <w:proofErr w:type="spellStart"/>
      <w:r w:rsidRPr="00C40972">
        <w:rPr>
          <w:rFonts w:cs="Guttman Drogolin"/>
          <w:sz w:val="24"/>
          <w:szCs w:val="24"/>
          <w:rtl/>
        </w:rPr>
        <w:t>כא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כ"ב שנה או כ"ד שנה (בקונטרס </w:t>
      </w:r>
      <w:proofErr w:type="spellStart"/>
      <w:r w:rsidRPr="00C40972">
        <w:rPr>
          <w:rFonts w:cs="Guttman Drogolin"/>
          <w:sz w:val="24"/>
          <w:szCs w:val="24"/>
          <w:rtl/>
        </w:rPr>
        <w:t>פ"ק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</w:t>
      </w:r>
      <w:proofErr w:type="spellStart"/>
      <w:r w:rsidRPr="00C40972">
        <w:rPr>
          <w:rFonts w:cs="Guttman Drogolin"/>
          <w:sz w:val="24"/>
          <w:szCs w:val="24"/>
          <w:rtl/>
        </w:rPr>
        <w:t>דקדושין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וב"י ס"ס של"ד). </w:t>
      </w:r>
    </w:p>
    <w:p w14:paraId="3B46707D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>סעיף כד</w:t>
      </w:r>
    </w:p>
    <w:p w14:paraId="18564268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/>
          <w:sz w:val="24"/>
          <w:szCs w:val="24"/>
          <w:rtl/>
        </w:rPr>
        <w:t xml:space="preserve">לב] </w:t>
      </w:r>
      <w:proofErr w:type="spellStart"/>
      <w:r w:rsidRPr="00C40972">
        <w:rPr>
          <w:rFonts w:cs="Guttman Drogolin"/>
          <w:sz w:val="24"/>
          <w:szCs w:val="24"/>
          <w:rtl/>
        </w:rPr>
        <w:t>כב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חייב אדם &lt;</w:t>
      </w:r>
      <w:proofErr w:type="spellStart"/>
      <w:r w:rsidRPr="00C40972">
        <w:rPr>
          <w:rFonts w:cs="Guttman Drogolin"/>
          <w:sz w:val="24"/>
          <w:szCs w:val="24"/>
          <w:rtl/>
        </w:rPr>
        <w:t>יט</w:t>
      </w:r>
      <w:proofErr w:type="spellEnd"/>
      <w:r w:rsidRPr="00C40972">
        <w:rPr>
          <w:rFonts w:cs="Guttman Drogolin"/>
          <w:sz w:val="24"/>
          <w:szCs w:val="24"/>
          <w:rtl/>
        </w:rPr>
        <w:t>&gt; לכבד (כ) חמיו. הגה: לג] י"א דאין אדם חייב בכבוד אבי אביו (</w:t>
      </w:r>
      <w:proofErr w:type="spellStart"/>
      <w:r w:rsidRPr="00C40972">
        <w:rPr>
          <w:rFonts w:cs="Guttman Drogolin"/>
          <w:sz w:val="24"/>
          <w:szCs w:val="24"/>
          <w:rtl/>
        </w:rPr>
        <w:t>מהרי"ק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שורש מ"ד /ל'/). לד] ואינו נ"ל, </w:t>
      </w:r>
      <w:proofErr w:type="spellStart"/>
      <w:r w:rsidRPr="00C40972">
        <w:rPr>
          <w:rFonts w:cs="Guttman Drogolin"/>
          <w:sz w:val="24"/>
          <w:szCs w:val="24"/>
          <w:rtl/>
        </w:rPr>
        <w:t>כג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(</w:t>
      </w:r>
      <w:proofErr w:type="spellStart"/>
      <w:r w:rsidRPr="00C40972">
        <w:rPr>
          <w:rFonts w:cs="Guttman Drogolin"/>
          <w:sz w:val="24"/>
          <w:szCs w:val="24"/>
          <w:rtl/>
        </w:rPr>
        <w:t>כא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) אלא </w:t>
      </w:r>
      <w:proofErr w:type="spellStart"/>
      <w:r w:rsidRPr="00C40972">
        <w:rPr>
          <w:rFonts w:cs="Guttman Drogolin"/>
          <w:sz w:val="24"/>
          <w:szCs w:val="24"/>
          <w:rtl/>
        </w:rPr>
        <w:t>דחייב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&lt;כ&gt; בכבוד אביו יותר מכבוד אבי אביו (וראיה ממדרש גבי ויזבח זבחים וגו' (בראשית מו, א)). </w:t>
      </w:r>
    </w:p>
    <w:p w14:paraId="403E3ED6" w14:textId="77777777" w:rsidR="008938B6" w:rsidRPr="00C40972" w:rsidRDefault="008938B6" w:rsidP="008938B6">
      <w:pPr>
        <w:spacing w:after="0" w:line="360" w:lineRule="auto"/>
        <w:jc w:val="both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>סעיף כה</w:t>
      </w:r>
    </w:p>
    <w:p w14:paraId="2EFD7448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/>
          <w:sz w:val="24"/>
          <w:szCs w:val="24"/>
          <w:rtl/>
        </w:rPr>
        <w:t>אם האב רוצה לשרת את הבן, מותר לקבל ממנו ג&gt; אלא א"כ האב בן תורה. לה] תלמיד שרוצה ללכת למקום אחר, (</w:t>
      </w:r>
      <w:proofErr w:type="spellStart"/>
      <w:r w:rsidRPr="00C40972">
        <w:rPr>
          <w:rFonts w:cs="Guttman Drogolin"/>
          <w:sz w:val="24"/>
          <w:szCs w:val="24"/>
          <w:rtl/>
        </w:rPr>
        <w:t>כב</w:t>
      </w:r>
      <w:proofErr w:type="spellEnd"/>
      <w:r w:rsidRPr="00C40972">
        <w:rPr>
          <w:rFonts w:cs="Guttman Drogolin"/>
          <w:sz w:val="24"/>
          <w:szCs w:val="24"/>
          <w:rtl/>
        </w:rPr>
        <w:t>) שהוא בוטח שיראה סימן ברכה בתלמודו לפני הרב ששם, ואביו מוחה בו לפי שדואג שבאותה העיר העובדי כוכבים מעלילים, (</w:t>
      </w:r>
      <w:proofErr w:type="spellStart"/>
      <w:r w:rsidRPr="00C40972">
        <w:rPr>
          <w:rFonts w:cs="Guttman Drogolin"/>
          <w:sz w:val="24"/>
          <w:szCs w:val="24"/>
          <w:rtl/>
        </w:rPr>
        <w:t>כג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) אינו צריך לשמוע </w:t>
      </w:r>
      <w:r w:rsidRPr="00C40972">
        <w:rPr>
          <w:rFonts w:cs="Guttman Drogolin"/>
          <w:sz w:val="24"/>
          <w:szCs w:val="24"/>
          <w:rtl/>
        </w:rPr>
        <w:lastRenderedPageBreak/>
        <w:t xml:space="preserve">לאביו בזה. הגה: לו] וכן אם האב מוחה בבן </w:t>
      </w:r>
      <w:proofErr w:type="spellStart"/>
      <w:r w:rsidRPr="00C40972">
        <w:rPr>
          <w:rFonts w:cs="Guttman Drogolin"/>
          <w:sz w:val="24"/>
          <w:szCs w:val="24"/>
          <w:rtl/>
        </w:rPr>
        <w:t>לישא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איזו </w:t>
      </w:r>
      <w:proofErr w:type="spellStart"/>
      <w:r w:rsidRPr="00C40972">
        <w:rPr>
          <w:rFonts w:cs="Guttman Drogolin"/>
          <w:sz w:val="24"/>
          <w:szCs w:val="24"/>
          <w:rtl/>
        </w:rPr>
        <w:t>אשה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שיחפוץ בה הבן, א"צ לשמוע אל האב (</w:t>
      </w:r>
      <w:proofErr w:type="spellStart"/>
      <w:r w:rsidRPr="00C40972">
        <w:rPr>
          <w:rFonts w:cs="Guttman Drogolin"/>
          <w:sz w:val="24"/>
          <w:szCs w:val="24"/>
          <w:rtl/>
        </w:rPr>
        <w:t>מהרי"ק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שורש קס"ז /קס"ו/).</w:t>
      </w:r>
    </w:p>
    <w:p w14:paraId="4C62AE25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</w:p>
    <w:p w14:paraId="00BF9FEE" w14:textId="77777777" w:rsidR="008938B6" w:rsidRPr="00C40972" w:rsidRDefault="008938B6" w:rsidP="008938B6">
      <w:pPr>
        <w:spacing w:after="0" w:line="360" w:lineRule="auto"/>
        <w:jc w:val="center"/>
        <w:rPr>
          <w:rFonts w:cs="Guttman Drogolin"/>
          <w:b/>
          <w:bCs/>
          <w:sz w:val="24"/>
          <w:szCs w:val="24"/>
          <w:rtl/>
        </w:rPr>
      </w:pPr>
      <w:r w:rsidRPr="00C40972">
        <w:rPr>
          <w:rFonts w:cs="Guttman Drogolin"/>
          <w:b/>
          <w:bCs/>
          <w:sz w:val="24"/>
          <w:szCs w:val="24"/>
          <w:rtl/>
        </w:rPr>
        <w:t xml:space="preserve">שו"ת </w:t>
      </w:r>
      <w:proofErr w:type="spellStart"/>
      <w:r w:rsidRPr="00C40972">
        <w:rPr>
          <w:rFonts w:cs="Guttman Drogolin"/>
          <w:b/>
          <w:bCs/>
          <w:sz w:val="24"/>
          <w:szCs w:val="24"/>
          <w:rtl/>
        </w:rPr>
        <w:t>מהרי"ק</w:t>
      </w:r>
      <w:proofErr w:type="spellEnd"/>
      <w:r>
        <w:rPr>
          <w:rStyle w:val="ad"/>
          <w:rFonts w:cs="Guttman Drogolin"/>
          <w:b/>
          <w:bCs/>
          <w:sz w:val="24"/>
          <w:szCs w:val="24"/>
          <w:rtl/>
        </w:rPr>
        <w:footnoteReference w:id="1"/>
      </w:r>
      <w:r w:rsidRPr="00C40972">
        <w:rPr>
          <w:rFonts w:cs="Guttman Drogolin"/>
          <w:b/>
          <w:bCs/>
          <w:sz w:val="24"/>
          <w:szCs w:val="24"/>
          <w:rtl/>
        </w:rPr>
        <w:t xml:space="preserve"> סימן </w:t>
      </w:r>
      <w:proofErr w:type="spellStart"/>
      <w:r w:rsidRPr="00C40972">
        <w:rPr>
          <w:rFonts w:cs="Guttman Drogolin"/>
          <w:b/>
          <w:bCs/>
          <w:sz w:val="24"/>
          <w:szCs w:val="24"/>
          <w:rtl/>
        </w:rPr>
        <w:t>קסו</w:t>
      </w:r>
      <w:proofErr w:type="spellEnd"/>
    </w:p>
    <w:p w14:paraId="526722CF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 w:hint="cs"/>
          <w:sz w:val="24"/>
          <w:szCs w:val="24"/>
          <w:rtl/>
        </w:rPr>
        <w:t>...</w:t>
      </w:r>
      <w:r w:rsidRPr="00C40972">
        <w:rPr>
          <w:rFonts w:cs="Guttman Drogolin"/>
          <w:sz w:val="24"/>
          <w:szCs w:val="24"/>
          <w:rtl/>
        </w:rPr>
        <w:t xml:space="preserve"> (ג) ואשר </w:t>
      </w:r>
      <w:proofErr w:type="spellStart"/>
      <w:r w:rsidRPr="00C40972">
        <w:rPr>
          <w:rFonts w:cs="Guttman Drogolin"/>
          <w:sz w:val="24"/>
          <w:szCs w:val="24"/>
          <w:rtl/>
        </w:rPr>
        <w:t>נסתפקת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אם יש </w:t>
      </w:r>
      <w:proofErr w:type="spellStart"/>
      <w:r w:rsidRPr="00C40972">
        <w:rPr>
          <w:rFonts w:cs="Guttman Drogolin"/>
          <w:sz w:val="24"/>
          <w:szCs w:val="24"/>
          <w:rtl/>
        </w:rPr>
        <w:t>כח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ביד האב למחות ביד בנו </w:t>
      </w:r>
      <w:proofErr w:type="spellStart"/>
      <w:r w:rsidRPr="00C40972">
        <w:rPr>
          <w:rFonts w:cs="Guttman Drogolin"/>
          <w:sz w:val="24"/>
          <w:szCs w:val="24"/>
          <w:rtl/>
        </w:rPr>
        <w:t>לישא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</w:t>
      </w:r>
      <w:proofErr w:type="spellStart"/>
      <w:r w:rsidRPr="00C40972">
        <w:rPr>
          <w:rFonts w:cs="Guttman Drogolin"/>
          <w:sz w:val="24"/>
          <w:szCs w:val="24"/>
          <w:rtl/>
        </w:rPr>
        <w:t>אשה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אשר יחפוץ בה הבן</w:t>
      </w:r>
    </w:p>
    <w:p w14:paraId="59AF45A0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/>
          <w:sz w:val="24"/>
          <w:szCs w:val="24"/>
          <w:rtl/>
        </w:rPr>
        <w:t xml:space="preserve"> </w:t>
      </w:r>
      <w:proofErr w:type="spellStart"/>
      <w:r w:rsidRPr="00C40972">
        <w:rPr>
          <w:rFonts w:cs="Guttman Drogolin"/>
          <w:sz w:val="24"/>
          <w:szCs w:val="24"/>
          <w:rtl/>
        </w:rPr>
        <w:t>לע"ד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נראה שאם היא </w:t>
      </w:r>
      <w:proofErr w:type="spellStart"/>
      <w:r w:rsidRPr="00C40972">
        <w:rPr>
          <w:rFonts w:cs="Guttman Drogolin"/>
          <w:sz w:val="24"/>
          <w:szCs w:val="24"/>
          <w:rtl/>
        </w:rPr>
        <w:t>אשה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</w:t>
      </w:r>
      <w:proofErr w:type="spellStart"/>
      <w:r w:rsidRPr="00C40972">
        <w:rPr>
          <w:rFonts w:cs="Guttman Drogolin"/>
          <w:sz w:val="24"/>
          <w:szCs w:val="24"/>
          <w:rtl/>
        </w:rPr>
        <w:t>ההוגגת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/ההוגנת/ לו שאין </w:t>
      </w:r>
      <w:proofErr w:type="spellStart"/>
      <w:r w:rsidRPr="00C40972">
        <w:rPr>
          <w:rFonts w:cs="Guttman Drogolin"/>
          <w:sz w:val="24"/>
          <w:szCs w:val="24"/>
          <w:rtl/>
        </w:rPr>
        <w:t>כח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ביד האב למחות ביד הבן</w:t>
      </w:r>
      <w:r>
        <w:rPr>
          <w:rFonts w:cs="Guttman Drogolin" w:hint="cs"/>
          <w:sz w:val="24"/>
          <w:szCs w:val="24"/>
          <w:rtl/>
        </w:rPr>
        <w:t>.</w:t>
      </w:r>
    </w:p>
    <w:p w14:paraId="340EFC0B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</w:p>
    <w:p w14:paraId="3DE80192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proofErr w:type="spellStart"/>
      <w:r w:rsidRPr="00C40972">
        <w:rPr>
          <w:rFonts w:cs="Guttman Drogolin"/>
          <w:sz w:val="24"/>
          <w:szCs w:val="24"/>
          <w:rtl/>
        </w:rPr>
        <w:t>חדא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</w:t>
      </w:r>
      <w:proofErr w:type="spellStart"/>
      <w:r w:rsidRPr="00C40972">
        <w:rPr>
          <w:rFonts w:cs="Guttman Drogolin"/>
          <w:sz w:val="24"/>
          <w:szCs w:val="24"/>
          <w:rtl/>
        </w:rPr>
        <w:t>דאפילו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</w:t>
      </w:r>
      <w:proofErr w:type="spellStart"/>
      <w:r w:rsidRPr="00C40972">
        <w:rPr>
          <w:rFonts w:cs="Guttman Drogolin"/>
          <w:sz w:val="24"/>
          <w:szCs w:val="24"/>
          <w:rtl/>
        </w:rPr>
        <w:t>לענין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ממון אודי ליה רבנן לרבי ירמיה כמאן </w:t>
      </w:r>
      <w:proofErr w:type="spellStart"/>
      <w:r w:rsidRPr="00C40972">
        <w:rPr>
          <w:rFonts w:cs="Guttman Drogolin"/>
          <w:sz w:val="24"/>
          <w:szCs w:val="24"/>
          <w:rtl/>
        </w:rPr>
        <w:t>דאמר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משל האב </w:t>
      </w:r>
      <w:r>
        <w:rPr>
          <w:rFonts w:cs="Guttman Drogolin" w:hint="cs"/>
          <w:sz w:val="24"/>
          <w:szCs w:val="24"/>
          <w:rtl/>
        </w:rPr>
        <w:t xml:space="preserve">(כלומר: מימון מצוות כיבוד אב ואם מוטל על ההורים ולא על הילדים) </w:t>
      </w:r>
      <w:r w:rsidRPr="00C40972">
        <w:rPr>
          <w:rFonts w:cs="Guttman Drogolin"/>
          <w:sz w:val="24"/>
          <w:szCs w:val="24"/>
          <w:rtl/>
        </w:rPr>
        <w:t>וכן פסקו כל פוסקי הלכות אשר ראיתי</w:t>
      </w:r>
      <w:r>
        <w:rPr>
          <w:rFonts w:cs="Guttman Drogolin" w:hint="cs"/>
          <w:sz w:val="24"/>
          <w:szCs w:val="24"/>
          <w:rtl/>
        </w:rPr>
        <w:t>,</w:t>
      </w:r>
      <w:r w:rsidRPr="00C40972">
        <w:rPr>
          <w:rFonts w:cs="Guttman Drogolin"/>
          <w:sz w:val="24"/>
          <w:szCs w:val="24"/>
          <w:rtl/>
        </w:rPr>
        <w:t xml:space="preserve"> כל שכן הכא שהוא דבר השייך בצער' </w:t>
      </w:r>
      <w:proofErr w:type="spellStart"/>
      <w:r w:rsidRPr="00C40972">
        <w:rPr>
          <w:rFonts w:cs="Guttman Drogolin"/>
          <w:sz w:val="24"/>
          <w:szCs w:val="24"/>
          <w:rtl/>
        </w:rPr>
        <w:t>דגופא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להניח </w:t>
      </w:r>
      <w:proofErr w:type="spellStart"/>
      <w:r w:rsidRPr="00C40972">
        <w:rPr>
          <w:rFonts w:cs="Guttman Drogolin"/>
          <w:sz w:val="24"/>
          <w:szCs w:val="24"/>
          <w:rtl/>
        </w:rPr>
        <w:t>האשה</w:t>
      </w:r>
      <w:proofErr w:type="spellEnd"/>
      <w:r>
        <w:rPr>
          <w:rFonts w:cs="Guttman Drogolin" w:hint="cs"/>
          <w:sz w:val="24"/>
          <w:szCs w:val="24"/>
          <w:rtl/>
        </w:rPr>
        <w:t xml:space="preserve"> </w:t>
      </w:r>
      <w:r w:rsidRPr="00C40972">
        <w:rPr>
          <w:rFonts w:cs="Guttman Drogolin"/>
          <w:sz w:val="24"/>
          <w:szCs w:val="24"/>
          <w:rtl/>
        </w:rPr>
        <w:t xml:space="preserve">אשר חפץ בה ויצטרך לקחת </w:t>
      </w:r>
      <w:proofErr w:type="spellStart"/>
      <w:r w:rsidRPr="00C40972">
        <w:rPr>
          <w:rFonts w:cs="Guttman Drogolin"/>
          <w:sz w:val="24"/>
          <w:szCs w:val="24"/>
          <w:rtl/>
        </w:rPr>
        <w:t>אשה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אחרת אשר לא </w:t>
      </w:r>
      <w:proofErr w:type="spellStart"/>
      <w:r w:rsidRPr="00C40972">
        <w:rPr>
          <w:rFonts w:cs="Guttman Drogolin"/>
          <w:sz w:val="24"/>
          <w:szCs w:val="24"/>
          <w:rtl/>
        </w:rPr>
        <w:t>תישר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בעיניו כל כך</w:t>
      </w:r>
      <w:r>
        <w:rPr>
          <w:rFonts w:cs="Guttman Drogolin" w:hint="cs"/>
          <w:sz w:val="24"/>
          <w:szCs w:val="24"/>
          <w:rtl/>
        </w:rPr>
        <w:t>.</w:t>
      </w:r>
    </w:p>
    <w:p w14:paraId="08911423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</w:p>
    <w:p w14:paraId="40BE2AE0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/>
          <w:sz w:val="24"/>
          <w:szCs w:val="24"/>
          <w:rtl/>
        </w:rPr>
        <w:t xml:space="preserve">ועוד </w:t>
      </w:r>
      <w:proofErr w:type="spellStart"/>
      <w:r w:rsidRPr="00C40972">
        <w:rPr>
          <w:rFonts w:cs="Guttman Drogolin"/>
          <w:sz w:val="24"/>
          <w:szCs w:val="24"/>
          <w:rtl/>
        </w:rPr>
        <w:t>דקרוב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הדבר בעיני להיות </w:t>
      </w:r>
      <w:proofErr w:type="spellStart"/>
      <w:r w:rsidRPr="00C40972">
        <w:rPr>
          <w:rFonts w:cs="Guttman Drogolin"/>
          <w:sz w:val="24"/>
          <w:szCs w:val="24"/>
          <w:rtl/>
        </w:rPr>
        <w:t>כמצוה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לעבור על דברי תורה שהרי אמרו רבותינו ז"ל אסור לאדם שיקדש את </w:t>
      </w:r>
      <w:proofErr w:type="spellStart"/>
      <w:r w:rsidRPr="00C40972">
        <w:rPr>
          <w:rFonts w:cs="Guttman Drogolin"/>
          <w:sz w:val="24"/>
          <w:szCs w:val="24"/>
          <w:rtl/>
        </w:rPr>
        <w:t>האשה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עד </w:t>
      </w:r>
      <w:proofErr w:type="spellStart"/>
      <w:r w:rsidRPr="00C40972">
        <w:rPr>
          <w:rFonts w:cs="Guttman Drogolin"/>
          <w:sz w:val="24"/>
          <w:szCs w:val="24"/>
          <w:rtl/>
        </w:rPr>
        <w:t>שיראנה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אלא שעכשיו הותר פן יקדימנו אחר</w:t>
      </w:r>
      <w:r>
        <w:rPr>
          <w:rFonts w:cs="Guttman Drogolin" w:hint="cs"/>
          <w:sz w:val="24"/>
          <w:szCs w:val="24"/>
          <w:rtl/>
        </w:rPr>
        <w:t>,</w:t>
      </w:r>
      <w:r w:rsidRPr="00C40972">
        <w:rPr>
          <w:rFonts w:cs="Guttman Drogolin"/>
          <w:sz w:val="24"/>
          <w:szCs w:val="24"/>
          <w:rtl/>
        </w:rPr>
        <w:t xml:space="preserve"> כמו שכתבו התוספות והפוסקים הרי שהקפידו </w:t>
      </w:r>
      <w:proofErr w:type="spellStart"/>
      <w:r w:rsidRPr="00C40972">
        <w:rPr>
          <w:rFonts w:cs="Guttman Drogolin"/>
          <w:sz w:val="24"/>
          <w:szCs w:val="24"/>
          <w:rtl/>
        </w:rPr>
        <w:t>שיקח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</w:t>
      </w:r>
      <w:proofErr w:type="spellStart"/>
      <w:r w:rsidRPr="00C40972">
        <w:rPr>
          <w:rFonts w:cs="Guttman Drogolin"/>
          <w:sz w:val="24"/>
          <w:szCs w:val="24"/>
          <w:rtl/>
        </w:rPr>
        <w:t>אשה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אשר יחפוץ בה ותמצא חן בעיניו</w:t>
      </w:r>
      <w:r>
        <w:rPr>
          <w:rFonts w:cs="Guttman Drogolin" w:hint="cs"/>
          <w:sz w:val="24"/>
          <w:szCs w:val="24"/>
          <w:rtl/>
        </w:rPr>
        <w:t>,</w:t>
      </w:r>
      <w:r w:rsidRPr="00C40972">
        <w:rPr>
          <w:rFonts w:cs="Guttman Drogolin"/>
          <w:sz w:val="24"/>
          <w:szCs w:val="24"/>
          <w:rtl/>
        </w:rPr>
        <w:t xml:space="preserve"> וכן בכמה מקומות חשו חכמים ז"ל לחבב </w:t>
      </w:r>
      <w:proofErr w:type="spellStart"/>
      <w:r w:rsidRPr="00C40972">
        <w:rPr>
          <w:rFonts w:cs="Guttman Drogolin"/>
          <w:sz w:val="24"/>
          <w:szCs w:val="24"/>
          <w:rtl/>
        </w:rPr>
        <w:t>האשה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על בעלה</w:t>
      </w:r>
      <w:r>
        <w:rPr>
          <w:rFonts w:cs="Guttman Drogolin" w:hint="cs"/>
          <w:sz w:val="24"/>
          <w:szCs w:val="24"/>
          <w:rtl/>
        </w:rPr>
        <w:t>...</w:t>
      </w:r>
    </w:p>
    <w:p w14:paraId="5A7FBB00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</w:p>
    <w:p w14:paraId="7135D0DB" w14:textId="77777777" w:rsidR="008938B6" w:rsidRDefault="008938B6" w:rsidP="008938B6">
      <w:pPr>
        <w:spacing w:after="0" w:line="360" w:lineRule="auto"/>
        <w:jc w:val="both"/>
        <w:rPr>
          <w:rFonts w:cs="Guttman Drogolin"/>
          <w:sz w:val="24"/>
          <w:szCs w:val="24"/>
          <w:rtl/>
        </w:rPr>
      </w:pPr>
      <w:r w:rsidRPr="00C40972">
        <w:rPr>
          <w:rFonts w:cs="Guttman Drogolin"/>
          <w:sz w:val="24"/>
          <w:szCs w:val="24"/>
          <w:rtl/>
        </w:rPr>
        <w:t xml:space="preserve">ועוד </w:t>
      </w:r>
      <w:proofErr w:type="spellStart"/>
      <w:r w:rsidRPr="00C40972">
        <w:rPr>
          <w:rFonts w:cs="Guttman Drogolin"/>
          <w:sz w:val="24"/>
          <w:szCs w:val="24"/>
          <w:rtl/>
        </w:rPr>
        <w:t>דעד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כאן לא </w:t>
      </w:r>
      <w:proofErr w:type="spellStart"/>
      <w:r w:rsidRPr="00C40972">
        <w:rPr>
          <w:rFonts w:cs="Guttman Drogolin"/>
          <w:sz w:val="24"/>
          <w:szCs w:val="24"/>
          <w:rtl/>
        </w:rPr>
        <w:t>מיפלגי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אם משל אב אם משל בן אלא בדבר </w:t>
      </w:r>
      <w:proofErr w:type="spellStart"/>
      <w:r w:rsidRPr="00C40972">
        <w:rPr>
          <w:rFonts w:cs="Guttman Drogolin"/>
          <w:sz w:val="24"/>
          <w:szCs w:val="24"/>
          <w:rtl/>
        </w:rPr>
        <w:t>דשייך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האב בגווה פרנסת האב שצורך גוף האב וקיומו אבל </w:t>
      </w:r>
      <w:proofErr w:type="spellStart"/>
      <w:r w:rsidRPr="00C40972">
        <w:rPr>
          <w:rFonts w:cs="Guttman Drogolin"/>
          <w:sz w:val="24"/>
          <w:szCs w:val="24"/>
          <w:rtl/>
        </w:rPr>
        <w:t>במלתא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דלא שייך בגווי' כי הכא </w:t>
      </w:r>
      <w:proofErr w:type="spellStart"/>
      <w:r w:rsidRPr="00C40972">
        <w:rPr>
          <w:rFonts w:cs="Guttman Drogolin"/>
          <w:sz w:val="24"/>
          <w:szCs w:val="24"/>
          <w:rtl/>
        </w:rPr>
        <w:t>פשיט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' דאין </w:t>
      </w:r>
      <w:proofErr w:type="spellStart"/>
      <w:r w:rsidRPr="00C40972">
        <w:rPr>
          <w:rFonts w:cs="Guttman Drogolin"/>
          <w:sz w:val="24"/>
          <w:szCs w:val="24"/>
          <w:rtl/>
        </w:rPr>
        <w:t>כח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לאב למחות בבן לא משום כבוד ולא משום מורא (ד) דלא שייך כבוד אלא כגון מאכילו משקהו מלבישו מנעילו </w:t>
      </w:r>
      <w:proofErr w:type="spellStart"/>
      <w:r w:rsidRPr="00C40972">
        <w:rPr>
          <w:rFonts w:cs="Guttman Drogolin"/>
          <w:sz w:val="24"/>
          <w:szCs w:val="24"/>
          <w:rtl/>
        </w:rPr>
        <w:t>כו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' מורא לא ישב במקומו ולא </w:t>
      </w:r>
      <w:proofErr w:type="spellStart"/>
      <w:r w:rsidRPr="00C40972">
        <w:rPr>
          <w:rFonts w:cs="Guttman Drogolin"/>
          <w:sz w:val="24"/>
          <w:szCs w:val="24"/>
          <w:rtl/>
        </w:rPr>
        <w:t>סות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' את דבריו </w:t>
      </w:r>
      <w:proofErr w:type="spellStart"/>
      <w:r w:rsidRPr="00C40972">
        <w:rPr>
          <w:rFonts w:cs="Guttman Drogolin"/>
          <w:sz w:val="24"/>
          <w:szCs w:val="24"/>
          <w:rtl/>
        </w:rPr>
        <w:t>כו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' וכן כיוצא בזה </w:t>
      </w:r>
      <w:proofErr w:type="spellStart"/>
      <w:r w:rsidRPr="00C40972">
        <w:rPr>
          <w:rFonts w:cs="Guttman Drogolin"/>
          <w:sz w:val="24"/>
          <w:szCs w:val="24"/>
          <w:rtl/>
        </w:rPr>
        <w:t>דשייך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לאב אבל </w:t>
      </w:r>
      <w:proofErr w:type="spellStart"/>
      <w:r w:rsidRPr="00C40972">
        <w:rPr>
          <w:rFonts w:cs="Guttman Drogolin"/>
          <w:sz w:val="24"/>
          <w:szCs w:val="24"/>
          <w:rtl/>
        </w:rPr>
        <w:t>במלתא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דלא שייך האב בגווה פשיטא דאין </w:t>
      </w:r>
      <w:proofErr w:type="spellStart"/>
      <w:r w:rsidRPr="00C40972">
        <w:rPr>
          <w:rFonts w:cs="Guttman Drogolin"/>
          <w:sz w:val="24"/>
          <w:szCs w:val="24"/>
          <w:rtl/>
        </w:rPr>
        <w:t>כח</w:t>
      </w:r>
      <w:proofErr w:type="spellEnd"/>
      <w:r w:rsidRPr="00C40972">
        <w:rPr>
          <w:rFonts w:cs="Guttman Drogolin"/>
          <w:sz w:val="24"/>
          <w:szCs w:val="24"/>
          <w:rtl/>
        </w:rPr>
        <w:t xml:space="preserve"> האב למחות ביד בנו.</w:t>
      </w:r>
      <w:r>
        <w:rPr>
          <w:rFonts w:cs="Guttman Drogolin" w:hint="cs"/>
          <w:sz w:val="24"/>
          <w:szCs w:val="24"/>
          <w:rtl/>
        </w:rPr>
        <w:t>...</w:t>
      </w:r>
      <w:r w:rsidRPr="00C40972">
        <w:rPr>
          <w:rFonts w:cs="Guttman Drogolin"/>
          <w:sz w:val="24"/>
          <w:szCs w:val="24"/>
          <w:rtl/>
        </w:rPr>
        <w:t xml:space="preserve"> </w:t>
      </w:r>
    </w:p>
    <w:p w14:paraId="389A43F1" w14:textId="77777777" w:rsidR="008938B6" w:rsidRPr="00C40972" w:rsidRDefault="008938B6" w:rsidP="008938B6">
      <w:pPr>
        <w:spacing w:after="0" w:line="360" w:lineRule="auto"/>
        <w:jc w:val="both"/>
        <w:rPr>
          <w:rFonts w:cs="Guttman Drogolin" w:hint="cs"/>
          <w:sz w:val="24"/>
          <w:szCs w:val="24"/>
        </w:rPr>
      </w:pPr>
    </w:p>
    <w:p w14:paraId="6C70522E" w14:textId="77777777" w:rsidR="0097481C" w:rsidRPr="008938B6" w:rsidRDefault="0097481C" w:rsidP="0097481C">
      <w:pPr>
        <w:rPr>
          <w:rFonts w:hint="cs"/>
        </w:rPr>
      </w:pPr>
    </w:p>
    <w:sectPr w:rsidR="0097481C" w:rsidRPr="008938B6" w:rsidSect="00E13B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CB66" w14:textId="77777777" w:rsidR="008938B6" w:rsidRDefault="008938B6" w:rsidP="00A123AD">
      <w:pPr>
        <w:spacing w:after="0" w:line="240" w:lineRule="auto"/>
      </w:pPr>
      <w:r>
        <w:separator/>
      </w:r>
    </w:p>
  </w:endnote>
  <w:endnote w:type="continuationSeparator" w:id="0">
    <w:p w14:paraId="32A02D84" w14:textId="77777777" w:rsidR="008938B6" w:rsidRDefault="008938B6" w:rsidP="00A1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Hodes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EE56" w14:textId="77777777" w:rsidR="002D2722" w:rsidRDefault="002D272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858A" w14:textId="77777777" w:rsidR="00157132" w:rsidRDefault="007E440B" w:rsidP="0060463E">
    <w:pPr>
      <w:spacing w:after="0"/>
      <w:contextualSpacing/>
      <w:jc w:val="center"/>
      <w:rPr>
        <w:rFonts w:ascii="Tahoma" w:hAnsi="Tahoma" w:cs="David"/>
        <w:sz w:val="20"/>
        <w:szCs w:val="20"/>
        <w:shd w:val="clear" w:color="auto" w:fill="FFFFFF"/>
        <w:rtl/>
      </w:rPr>
    </w:pPr>
    <w:r>
      <w:rPr>
        <w:rFonts w:cs="Arial"/>
        <w:noProof/>
        <w:rtl/>
      </w:rPr>
      <w:drawing>
        <wp:anchor distT="0" distB="0" distL="114300" distR="114300" simplePos="0" relativeHeight="251665408" behindDoc="0" locked="0" layoutInCell="1" allowOverlap="1" wp14:anchorId="444963D8" wp14:editId="4E88306E">
          <wp:simplePos x="0" y="0"/>
          <wp:positionH relativeFrom="column">
            <wp:posOffset>-304800</wp:posOffset>
          </wp:positionH>
          <wp:positionV relativeFrom="paragraph">
            <wp:posOffset>-351155</wp:posOffset>
          </wp:positionV>
          <wp:extent cx="883920" cy="707390"/>
          <wp:effectExtent l="0" t="0" r="0" b="0"/>
          <wp:wrapSquare wrapText="bothSides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453828130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4788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B6D96E" wp14:editId="56C03943">
              <wp:simplePos x="0" y="0"/>
              <wp:positionH relativeFrom="column">
                <wp:posOffset>589915</wp:posOffset>
              </wp:positionH>
              <wp:positionV relativeFrom="paragraph">
                <wp:posOffset>-17780</wp:posOffset>
              </wp:positionV>
              <wp:extent cx="5549900" cy="57785"/>
              <wp:effectExtent l="0" t="0" r="0" b="113665"/>
              <wp:wrapNone/>
              <wp:docPr id="3" name="מלבן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49900" cy="5778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  <a:effectLst>
                        <a:reflection stA="25000" endPos="65000" dist="50800" dir="5400000" sy="-100000" algn="bl" rotWithShape="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F2A3D5" id="מלבן 3" o:spid="_x0000_s1026" style="position:absolute;left:0;text-align:left;margin-left:46.45pt;margin-top:-1.4pt;width:437pt;height: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" fillcolor="#92d050" stroked="f" strokeweight="2pt"/>
          </w:pict>
        </mc:Fallback>
      </mc:AlternateContent>
    </w:r>
    <w:r w:rsidR="00A64788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619330" wp14:editId="655855BA">
              <wp:simplePos x="0" y="0"/>
              <wp:positionH relativeFrom="column">
                <wp:posOffset>-895985</wp:posOffset>
              </wp:positionH>
              <wp:positionV relativeFrom="paragraph">
                <wp:posOffset>-20320</wp:posOffset>
              </wp:positionV>
              <wp:extent cx="777875" cy="57785"/>
              <wp:effectExtent l="0" t="0" r="3175" b="0"/>
              <wp:wrapNone/>
              <wp:docPr id="5" name="מלבן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875" cy="5778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68F08" id="מלבן 5" o:spid="_x0000_s1026" style="position:absolute;left:0;text-align:left;margin-left:-70.55pt;margin-top:-1.6pt;width:61.25pt;height: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" fillcolor="#92d050" stroked="f" strokeweight="2pt"/>
          </w:pict>
        </mc:Fallback>
      </mc:AlternateContent>
    </w:r>
  </w:p>
  <w:p w14:paraId="51CCFF7C" w14:textId="77777777" w:rsidR="00157132" w:rsidRPr="00D963B0" w:rsidRDefault="00D107D2" w:rsidP="007E440B">
    <w:pPr>
      <w:spacing w:after="0"/>
      <w:ind w:left="-1617"/>
      <w:contextualSpacing/>
      <w:jc w:val="both"/>
      <w:rPr>
        <w:rFonts w:ascii="Tahoma" w:hAnsi="Tahoma" w:cs="Guttman Hodes"/>
        <w:b/>
        <w:bCs/>
        <w:color w:val="002060"/>
        <w:sz w:val="24"/>
        <w:szCs w:val="24"/>
        <w:shd w:val="clear" w:color="auto" w:fill="FFFFFF"/>
        <w:rtl/>
      </w:rPr>
    </w:pPr>
    <w:r w:rsidRPr="00D963B0">
      <w:rPr>
        <w:rFonts w:ascii="Tahoma" w:hAnsi="Tahoma" w:cs="Guttman Hodes" w:hint="cs"/>
        <w:sz w:val="24"/>
        <w:szCs w:val="24"/>
        <w:shd w:val="clear" w:color="auto" w:fill="FFFFFF"/>
        <w:rtl/>
      </w:rPr>
      <w:t xml:space="preserve">     </w:t>
    </w:r>
    <w:r w:rsidR="00157132" w:rsidRPr="00D963B0">
      <w:rPr>
        <w:rFonts w:ascii="Tahoma" w:hAnsi="Tahoma" w:cs="Guttman Hodes" w:hint="cs"/>
        <w:sz w:val="24"/>
        <w:szCs w:val="24"/>
        <w:shd w:val="clear" w:color="auto" w:fill="FFFFFF"/>
        <w:rtl/>
      </w:rPr>
      <w:t xml:space="preserve"> </w:t>
    </w:r>
    <w:r w:rsidR="007617DD">
      <w:rPr>
        <w:rFonts w:ascii="Tahoma" w:hAnsi="Tahoma" w:cs="Guttman Hodes" w:hint="cs"/>
        <w:b/>
        <w:bCs/>
        <w:color w:val="002060"/>
        <w:sz w:val="24"/>
        <w:szCs w:val="24"/>
        <w:shd w:val="clear" w:color="auto" w:fill="FFFFFF"/>
        <w:rtl/>
      </w:rPr>
      <w:t xml:space="preserve">הרב יובל שרלו, </w:t>
    </w:r>
    <w:r w:rsidR="0060463E" w:rsidRPr="00D963B0">
      <w:rPr>
        <w:rFonts w:ascii="Tahoma" w:hAnsi="Tahoma" w:cs="Guttman Hodes"/>
        <w:b/>
        <w:bCs/>
        <w:color w:val="002060"/>
        <w:sz w:val="24"/>
        <w:szCs w:val="24"/>
        <w:shd w:val="clear" w:color="auto" w:fill="FFFFFF"/>
        <w:rtl/>
      </w:rPr>
      <w:t xml:space="preserve">ישיבת ההסדר </w:t>
    </w:r>
    <w:r w:rsidR="00F93067" w:rsidRPr="00D963B0">
      <w:rPr>
        <w:rFonts w:ascii="Tahoma" w:hAnsi="Tahoma" w:cs="Guttman Hodes"/>
        <w:b/>
        <w:bCs/>
        <w:color w:val="002060"/>
        <w:sz w:val="24"/>
        <w:szCs w:val="24"/>
        <w:shd w:val="clear" w:color="auto" w:fill="FFFFFF"/>
        <w:rtl/>
      </w:rPr>
      <w:t>אורות שאול</w:t>
    </w:r>
    <w:r w:rsidR="005E5A70" w:rsidRPr="00D963B0">
      <w:rPr>
        <w:rFonts w:cs="Guttman Hodes" w:hint="cs"/>
        <w:b/>
        <w:bCs/>
        <w:color w:val="002060"/>
        <w:sz w:val="24"/>
        <w:szCs w:val="24"/>
        <w:shd w:val="clear" w:color="auto" w:fill="FFFFFF"/>
        <w:rtl/>
      </w:rPr>
      <w:t>,</w:t>
    </w:r>
    <w:r w:rsidR="00157132" w:rsidRPr="00D963B0">
      <w:rPr>
        <w:rFonts w:cs="Guttman Hodes" w:hint="cs"/>
        <w:b/>
        <w:bCs/>
        <w:color w:val="002060"/>
        <w:sz w:val="24"/>
        <w:szCs w:val="24"/>
        <w:shd w:val="clear" w:color="auto" w:fill="FFFFFF"/>
        <w:rtl/>
      </w:rPr>
      <w:t xml:space="preserve"> </w:t>
    </w:r>
    <w:r w:rsidR="007E440B">
      <w:rPr>
        <w:rFonts w:ascii="Tahoma" w:hAnsi="Tahoma" w:cs="Guttman Hodes" w:hint="cs"/>
        <w:b/>
        <w:bCs/>
        <w:color w:val="002060"/>
        <w:sz w:val="24"/>
        <w:szCs w:val="24"/>
        <w:shd w:val="clear" w:color="auto" w:fill="FFFFFF"/>
        <w:rtl/>
      </w:rPr>
      <w:t xml:space="preserve">ישראל </w:t>
    </w:r>
    <w:proofErr w:type="spellStart"/>
    <w:r w:rsidR="007E440B">
      <w:rPr>
        <w:rFonts w:ascii="Tahoma" w:hAnsi="Tahoma" w:cs="Guttman Hodes" w:hint="cs"/>
        <w:b/>
        <w:bCs/>
        <w:color w:val="002060"/>
        <w:sz w:val="24"/>
        <w:szCs w:val="24"/>
        <w:shd w:val="clear" w:color="auto" w:fill="FFFFFF"/>
        <w:rtl/>
      </w:rPr>
      <w:t>מסלנט</w:t>
    </w:r>
    <w:proofErr w:type="spellEnd"/>
    <w:r w:rsidR="007E440B">
      <w:rPr>
        <w:rFonts w:ascii="Tahoma" w:hAnsi="Tahoma" w:cs="Guttman Hodes" w:hint="cs"/>
        <w:b/>
        <w:bCs/>
        <w:color w:val="002060"/>
        <w:sz w:val="24"/>
        <w:szCs w:val="24"/>
        <w:shd w:val="clear" w:color="auto" w:fill="FFFFFF"/>
        <w:rtl/>
      </w:rPr>
      <w:t xml:space="preserve"> 24 ת"א</w:t>
    </w:r>
    <w:r w:rsidR="002D2722">
      <w:rPr>
        <w:rFonts w:ascii="Tahoma" w:hAnsi="Tahoma" w:cs="Guttman Hodes" w:hint="cs"/>
        <w:b/>
        <w:bCs/>
        <w:color w:val="002060"/>
        <w:sz w:val="24"/>
        <w:szCs w:val="24"/>
        <w:shd w:val="clear" w:color="auto" w:fill="FFFFFF"/>
        <w:rtl/>
      </w:rPr>
      <w:t xml:space="preserve"> </w:t>
    </w:r>
    <w:r w:rsidR="002D2722">
      <w:rPr>
        <w:rFonts w:ascii="Arial" w:hAnsi="Arial" w:cs="Arial"/>
        <w:color w:val="000000"/>
        <w:sz w:val="30"/>
        <w:szCs w:val="30"/>
        <w:shd w:val="clear" w:color="auto" w:fill="EBEAEA"/>
      </w:rPr>
      <w:t>6617207</w:t>
    </w:r>
  </w:p>
  <w:p w14:paraId="407217A8" w14:textId="77777777" w:rsidR="00F93067" w:rsidRPr="00D963B0" w:rsidRDefault="00D107D2" w:rsidP="007617DD">
    <w:pPr>
      <w:spacing w:after="0"/>
      <w:ind w:left="-1617"/>
      <w:contextualSpacing/>
      <w:rPr>
        <w:rFonts w:ascii="Tahoma" w:hAnsi="Tahoma" w:cs="Guttman Hodes"/>
        <w:b/>
        <w:bCs/>
        <w:color w:val="002060"/>
        <w:sz w:val="24"/>
        <w:szCs w:val="24"/>
        <w:shd w:val="clear" w:color="auto" w:fill="FFFFFF"/>
        <w:rtl/>
      </w:rPr>
    </w:pPr>
    <w:r w:rsidRPr="00D963B0">
      <w:rPr>
        <w:rStyle w:val="a9"/>
        <w:rFonts w:ascii="Tahoma" w:hAnsi="Tahoma" w:cs="Guttman Hodes" w:hint="cs"/>
        <w:color w:val="002060"/>
        <w:sz w:val="24"/>
        <w:szCs w:val="24"/>
        <w:shd w:val="clear" w:color="auto" w:fill="FFFFFF"/>
        <w:rtl/>
      </w:rPr>
      <w:t xml:space="preserve">    </w:t>
    </w:r>
    <w:r w:rsidR="00157132" w:rsidRPr="00D963B0">
      <w:rPr>
        <w:rStyle w:val="a9"/>
        <w:rFonts w:ascii="Tahoma" w:hAnsi="Tahoma" w:cs="Guttman Hodes" w:hint="cs"/>
        <w:color w:val="002060"/>
        <w:sz w:val="24"/>
        <w:szCs w:val="24"/>
        <w:shd w:val="clear" w:color="auto" w:fill="FFFFFF"/>
        <w:rtl/>
      </w:rPr>
      <w:t xml:space="preserve"> </w:t>
    </w:r>
    <w:r w:rsidR="00F93067" w:rsidRPr="00D963B0">
      <w:rPr>
        <w:rStyle w:val="a9"/>
        <w:rFonts w:ascii="Tahoma" w:hAnsi="Tahoma" w:cs="Guttman Hodes"/>
        <w:color w:val="002060"/>
        <w:sz w:val="24"/>
        <w:szCs w:val="24"/>
        <w:shd w:val="clear" w:color="auto" w:fill="FFFFFF"/>
        <w:rtl/>
      </w:rPr>
      <w:t>טל</w:t>
    </w:r>
    <w:r w:rsidR="00F93067" w:rsidRPr="00D963B0">
      <w:rPr>
        <w:rStyle w:val="a9"/>
        <w:rFonts w:ascii="Tahoma" w:hAnsi="Tahoma" w:cs="Guttman Hodes" w:hint="cs"/>
        <w:color w:val="002060"/>
        <w:sz w:val="24"/>
        <w:szCs w:val="24"/>
        <w:shd w:val="clear" w:color="auto" w:fill="FFFFFF"/>
        <w:rtl/>
      </w:rPr>
      <w:t xml:space="preserve">פון </w:t>
    </w:r>
    <w:r w:rsidR="007617DD">
      <w:rPr>
        <w:rStyle w:val="a9"/>
        <w:rFonts w:ascii="Tahoma" w:hAnsi="Tahoma" w:cs="Guttman Hodes" w:hint="cs"/>
        <w:color w:val="002060"/>
        <w:sz w:val="24"/>
        <w:szCs w:val="24"/>
        <w:shd w:val="clear" w:color="auto" w:fill="FFFFFF"/>
        <w:rtl/>
      </w:rPr>
      <w:t>052-7906483</w:t>
    </w:r>
    <w:r w:rsidR="00F93067" w:rsidRPr="00D963B0">
      <w:rPr>
        <w:rFonts w:cs="Guttman Hodes" w:hint="cs"/>
        <w:b/>
        <w:bCs/>
        <w:color w:val="002060"/>
        <w:sz w:val="24"/>
        <w:szCs w:val="24"/>
        <w:rtl/>
      </w:rPr>
      <w:t xml:space="preserve"> </w:t>
    </w:r>
    <w:r w:rsidR="00F93067" w:rsidRPr="00D963B0">
      <w:rPr>
        <w:rStyle w:val="a9"/>
        <w:rFonts w:ascii="Tahoma" w:hAnsi="Tahoma" w:cs="Guttman Hodes" w:hint="cs"/>
        <w:color w:val="002060"/>
        <w:sz w:val="24"/>
        <w:szCs w:val="24"/>
        <w:shd w:val="clear" w:color="auto" w:fill="FFFFFF"/>
        <w:rtl/>
      </w:rPr>
      <w:t xml:space="preserve">  </w:t>
    </w:r>
    <w:r w:rsidR="00157132" w:rsidRPr="00D963B0">
      <w:rPr>
        <w:rStyle w:val="a9"/>
        <w:rFonts w:ascii="Tahoma" w:hAnsi="Tahoma" w:cs="Guttman Hodes" w:hint="cs"/>
        <w:color w:val="002060"/>
        <w:sz w:val="24"/>
        <w:szCs w:val="24"/>
        <w:shd w:val="clear" w:color="auto" w:fill="FFFFFF"/>
        <w:rtl/>
      </w:rPr>
      <w:t xml:space="preserve"> </w:t>
    </w:r>
    <w:hyperlink r:id="rId2" w:history="1">
      <w:r w:rsidR="00157132" w:rsidRPr="00D963B0">
        <w:rPr>
          <w:rStyle w:val="Hyperlink"/>
          <w:rFonts w:asciiTheme="majorHAnsi" w:hAnsiTheme="majorHAnsi" w:cs="Guttman Hodes"/>
          <w:b/>
          <w:bCs/>
          <w:color w:val="002060"/>
          <w:sz w:val="24"/>
          <w:szCs w:val="24"/>
          <w:u w:val="none"/>
          <w:shd w:val="clear" w:color="auto" w:fill="FFFFFF"/>
        </w:rPr>
        <w:t>www.ypt.co.il</w:t>
      </w:r>
    </w:hyperlink>
    <w:r w:rsidR="005E5A70" w:rsidRPr="00D963B0">
      <w:rPr>
        <w:rFonts w:ascii="Tahoma" w:hAnsi="Tahoma" w:cs="Guttman Hodes" w:hint="cs"/>
        <w:b/>
        <w:bCs/>
        <w:color w:val="002060"/>
        <w:sz w:val="24"/>
        <w:szCs w:val="24"/>
        <w:shd w:val="clear" w:color="auto" w:fill="FFFFFF"/>
        <w:rtl/>
      </w:rPr>
      <w:t xml:space="preserve">   </w:t>
    </w:r>
    <w:r w:rsidR="007617DD">
      <w:rPr>
        <w:rStyle w:val="Hyperlink"/>
        <w:rFonts w:asciiTheme="majorHAnsi" w:hAnsiTheme="majorHAnsi"/>
        <w:b/>
        <w:bCs/>
        <w:color w:val="002060"/>
        <w:sz w:val="24"/>
        <w:szCs w:val="24"/>
        <w:u w:val="none"/>
      </w:rPr>
      <w:t>ycherlow</w:t>
    </w:r>
    <w:r w:rsidR="00157132" w:rsidRPr="00D963B0">
      <w:rPr>
        <w:rStyle w:val="Hyperlink"/>
        <w:rFonts w:asciiTheme="majorHAnsi" w:hAnsiTheme="majorHAnsi"/>
        <w:b/>
        <w:bCs/>
        <w:color w:val="002060"/>
        <w:sz w:val="24"/>
        <w:szCs w:val="24"/>
        <w:u w:val="none"/>
      </w:rPr>
      <w:t>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C52E" w14:textId="77777777" w:rsidR="002D2722" w:rsidRDefault="002D27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96A9F" w14:textId="77777777" w:rsidR="008938B6" w:rsidRDefault="008938B6" w:rsidP="00A123AD">
      <w:pPr>
        <w:spacing w:after="0" w:line="240" w:lineRule="auto"/>
      </w:pPr>
      <w:r>
        <w:separator/>
      </w:r>
    </w:p>
  </w:footnote>
  <w:footnote w:type="continuationSeparator" w:id="0">
    <w:p w14:paraId="6CBEABE2" w14:textId="77777777" w:rsidR="008938B6" w:rsidRDefault="008938B6" w:rsidP="00A123AD">
      <w:pPr>
        <w:spacing w:after="0" w:line="240" w:lineRule="auto"/>
      </w:pPr>
      <w:r>
        <w:continuationSeparator/>
      </w:r>
    </w:p>
  </w:footnote>
  <w:footnote w:id="1">
    <w:p w14:paraId="112D3B10" w14:textId="77777777" w:rsidR="008938B6" w:rsidRDefault="008938B6" w:rsidP="008938B6">
      <w:pPr>
        <w:pStyle w:val="ab"/>
        <w:jc w:val="both"/>
      </w:pPr>
      <w:r>
        <w:rPr>
          <w:rStyle w:val="ad"/>
        </w:rPr>
        <w:footnoteRef/>
      </w:r>
      <w:r>
        <w:rPr>
          <w:rtl/>
        </w:rPr>
        <w:t xml:space="preserve"> </w:t>
      </w:r>
      <w:r>
        <w:rPr>
          <w:rFonts w:cs="Arial"/>
          <w:rtl/>
        </w:rPr>
        <w:t>רבי יוסף בן שלמה קולון (</w:t>
      </w:r>
      <w:proofErr w:type="spellStart"/>
      <w:r>
        <w:rPr>
          <w:rFonts w:cs="Arial"/>
          <w:rtl/>
        </w:rPr>
        <w:t>המהרי"ק</w:t>
      </w:r>
      <w:proofErr w:type="spellEnd"/>
      <w:r>
        <w:rPr>
          <w:rFonts w:cs="Arial"/>
          <w:rtl/>
        </w:rPr>
        <w:t xml:space="preserve">) נולד בצרפת בשנת ה"א ק"פ (1420) לערך ונדד הרבה בחייו. הוא ישב בעיקר בצפון איטליה, שם כיהן כרב בכמה קהילות חשובות. תשובותיו זכו לשם ולתפוצה רבה. תלמידו היה ר' עובדיה </w:t>
      </w:r>
      <w:proofErr w:type="spellStart"/>
      <w:r>
        <w:rPr>
          <w:rFonts w:cs="Arial"/>
          <w:rtl/>
        </w:rPr>
        <w:t>מברטנורה</w:t>
      </w:r>
      <w:proofErr w:type="spellEnd"/>
      <w:r>
        <w:rPr>
          <w:rFonts w:cs="Arial"/>
          <w:rtl/>
        </w:rPr>
        <w:t xml:space="preserve">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F57F" w14:textId="77777777" w:rsidR="002D2722" w:rsidRDefault="002D27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000A" w14:textId="77777777" w:rsidR="00F93067" w:rsidRDefault="00F93067" w:rsidP="0034649A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08B0" w14:textId="77777777" w:rsidR="002D2722" w:rsidRDefault="002D27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3FD3"/>
    <w:multiLevelType w:val="hybridMultilevel"/>
    <w:tmpl w:val="0338B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E1DE4"/>
    <w:multiLevelType w:val="hybridMultilevel"/>
    <w:tmpl w:val="7A8A6D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B08E6"/>
    <w:multiLevelType w:val="hybridMultilevel"/>
    <w:tmpl w:val="034A70BA"/>
    <w:lvl w:ilvl="0" w:tplc="90487FB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45C27"/>
    <w:multiLevelType w:val="hybridMultilevel"/>
    <w:tmpl w:val="0310E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129C9"/>
    <w:multiLevelType w:val="hybridMultilevel"/>
    <w:tmpl w:val="44EA2334"/>
    <w:lvl w:ilvl="0" w:tplc="2BC201F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755974">
    <w:abstractNumId w:val="0"/>
  </w:num>
  <w:num w:numId="2" w16cid:durableId="44262603">
    <w:abstractNumId w:val="4"/>
  </w:num>
  <w:num w:numId="3" w16cid:durableId="675110248">
    <w:abstractNumId w:val="3"/>
  </w:num>
  <w:num w:numId="4" w16cid:durableId="381563293">
    <w:abstractNumId w:val="1"/>
  </w:num>
  <w:num w:numId="5" w16cid:durableId="578758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8B6"/>
    <w:rsid w:val="0002748F"/>
    <w:rsid w:val="0005591C"/>
    <w:rsid w:val="00095635"/>
    <w:rsid w:val="000B347C"/>
    <w:rsid w:val="000F0C48"/>
    <w:rsid w:val="00103B38"/>
    <w:rsid w:val="00157132"/>
    <w:rsid w:val="001E251B"/>
    <w:rsid w:val="0024187B"/>
    <w:rsid w:val="00246EEC"/>
    <w:rsid w:val="00274300"/>
    <w:rsid w:val="002755EF"/>
    <w:rsid w:val="002C40D4"/>
    <w:rsid w:val="002C4DA0"/>
    <w:rsid w:val="002D2722"/>
    <w:rsid w:val="002E5FDE"/>
    <w:rsid w:val="00307295"/>
    <w:rsid w:val="00315988"/>
    <w:rsid w:val="00334290"/>
    <w:rsid w:val="0034649A"/>
    <w:rsid w:val="003757CF"/>
    <w:rsid w:val="00375FD8"/>
    <w:rsid w:val="00383E6A"/>
    <w:rsid w:val="003B6A49"/>
    <w:rsid w:val="003F5E4B"/>
    <w:rsid w:val="00433E29"/>
    <w:rsid w:val="00463DFF"/>
    <w:rsid w:val="00515523"/>
    <w:rsid w:val="00515F95"/>
    <w:rsid w:val="0055195C"/>
    <w:rsid w:val="00552ADF"/>
    <w:rsid w:val="00555A83"/>
    <w:rsid w:val="00597756"/>
    <w:rsid w:val="005D2822"/>
    <w:rsid w:val="005E5A70"/>
    <w:rsid w:val="005F008D"/>
    <w:rsid w:val="0060463E"/>
    <w:rsid w:val="00614759"/>
    <w:rsid w:val="00617ED4"/>
    <w:rsid w:val="00626C0C"/>
    <w:rsid w:val="0064156A"/>
    <w:rsid w:val="00692141"/>
    <w:rsid w:val="006B1485"/>
    <w:rsid w:val="006C5484"/>
    <w:rsid w:val="006F219A"/>
    <w:rsid w:val="006F433C"/>
    <w:rsid w:val="00702736"/>
    <w:rsid w:val="00716B33"/>
    <w:rsid w:val="00736863"/>
    <w:rsid w:val="007610AC"/>
    <w:rsid w:val="007617DD"/>
    <w:rsid w:val="007949E2"/>
    <w:rsid w:val="007A64A6"/>
    <w:rsid w:val="007B2E99"/>
    <w:rsid w:val="007B773D"/>
    <w:rsid w:val="007E3D6B"/>
    <w:rsid w:val="007E440B"/>
    <w:rsid w:val="007F2CEA"/>
    <w:rsid w:val="007F3AF2"/>
    <w:rsid w:val="00812B54"/>
    <w:rsid w:val="008209F1"/>
    <w:rsid w:val="00860AED"/>
    <w:rsid w:val="00877790"/>
    <w:rsid w:val="00880E88"/>
    <w:rsid w:val="008874D6"/>
    <w:rsid w:val="00893618"/>
    <w:rsid w:val="008938B6"/>
    <w:rsid w:val="008D54F3"/>
    <w:rsid w:val="008E2E60"/>
    <w:rsid w:val="0091367E"/>
    <w:rsid w:val="00920B90"/>
    <w:rsid w:val="0093060F"/>
    <w:rsid w:val="009460B9"/>
    <w:rsid w:val="0097481C"/>
    <w:rsid w:val="009810CB"/>
    <w:rsid w:val="00986666"/>
    <w:rsid w:val="009D115E"/>
    <w:rsid w:val="009F7672"/>
    <w:rsid w:val="00A123AD"/>
    <w:rsid w:val="00A14827"/>
    <w:rsid w:val="00A52D3C"/>
    <w:rsid w:val="00A60047"/>
    <w:rsid w:val="00A64788"/>
    <w:rsid w:val="00A6761C"/>
    <w:rsid w:val="00AC7129"/>
    <w:rsid w:val="00AF3079"/>
    <w:rsid w:val="00B12B10"/>
    <w:rsid w:val="00B304EE"/>
    <w:rsid w:val="00B403A8"/>
    <w:rsid w:val="00B65691"/>
    <w:rsid w:val="00BF4130"/>
    <w:rsid w:val="00C0391E"/>
    <w:rsid w:val="00C5091C"/>
    <w:rsid w:val="00C8111B"/>
    <w:rsid w:val="00CA6683"/>
    <w:rsid w:val="00CD6F44"/>
    <w:rsid w:val="00CF3415"/>
    <w:rsid w:val="00D107D2"/>
    <w:rsid w:val="00D13E67"/>
    <w:rsid w:val="00D338C1"/>
    <w:rsid w:val="00D63640"/>
    <w:rsid w:val="00D71377"/>
    <w:rsid w:val="00D77BB6"/>
    <w:rsid w:val="00D963B0"/>
    <w:rsid w:val="00DC6A95"/>
    <w:rsid w:val="00E03EED"/>
    <w:rsid w:val="00E13B6F"/>
    <w:rsid w:val="00E24628"/>
    <w:rsid w:val="00E444A3"/>
    <w:rsid w:val="00E65484"/>
    <w:rsid w:val="00E849EE"/>
    <w:rsid w:val="00EA24D3"/>
    <w:rsid w:val="00EC2C75"/>
    <w:rsid w:val="00EF027B"/>
    <w:rsid w:val="00F007A3"/>
    <w:rsid w:val="00F020FC"/>
    <w:rsid w:val="00F02EFA"/>
    <w:rsid w:val="00F03155"/>
    <w:rsid w:val="00F26A4F"/>
    <w:rsid w:val="00F31A78"/>
    <w:rsid w:val="00F7236C"/>
    <w:rsid w:val="00F758DC"/>
    <w:rsid w:val="00F84D0B"/>
    <w:rsid w:val="00F93067"/>
    <w:rsid w:val="00FB1E92"/>
    <w:rsid w:val="00FD6E1E"/>
    <w:rsid w:val="00FE1ED2"/>
    <w:rsid w:val="00FE2C5B"/>
    <w:rsid w:val="00FF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21947"/>
  <w15:docId w15:val="{F7768E4A-91E3-4895-ADB1-8407F6CB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8B6"/>
    <w:pPr>
      <w:bidi/>
      <w:spacing w:after="160" w:line="259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3AD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a4">
    <w:name w:val="כותרת עליונה תו"/>
    <w:basedOn w:val="a0"/>
    <w:link w:val="a3"/>
    <w:uiPriority w:val="99"/>
    <w:rsid w:val="00A123AD"/>
  </w:style>
  <w:style w:type="paragraph" w:styleId="a5">
    <w:name w:val="footer"/>
    <w:basedOn w:val="a"/>
    <w:link w:val="a6"/>
    <w:uiPriority w:val="99"/>
    <w:unhideWhenUsed/>
    <w:rsid w:val="00A123AD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a6">
    <w:name w:val="כותרת תחתונה תו"/>
    <w:basedOn w:val="a0"/>
    <w:link w:val="a5"/>
    <w:uiPriority w:val="99"/>
    <w:rsid w:val="00A123AD"/>
  </w:style>
  <w:style w:type="paragraph" w:styleId="a7">
    <w:name w:val="Balloon Text"/>
    <w:basedOn w:val="a"/>
    <w:link w:val="a8"/>
    <w:uiPriority w:val="99"/>
    <w:semiHidden/>
    <w:unhideWhenUsed/>
    <w:rsid w:val="00A123AD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123AD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93067"/>
    <w:rPr>
      <w:b/>
      <w:bCs/>
    </w:rPr>
  </w:style>
  <w:style w:type="character" w:styleId="Hyperlink">
    <w:name w:val="Hyperlink"/>
    <w:basedOn w:val="a0"/>
    <w:uiPriority w:val="99"/>
    <w:unhideWhenUsed/>
    <w:rsid w:val="00F93067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74300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styleId="FollowedHyperlink">
    <w:name w:val="FollowedHyperlink"/>
    <w:basedOn w:val="a0"/>
    <w:uiPriority w:val="99"/>
    <w:semiHidden/>
    <w:unhideWhenUsed/>
    <w:rsid w:val="007E3D6B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CD6F4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c">
    <w:name w:val="טקסט הערת שוליים תו"/>
    <w:basedOn w:val="a0"/>
    <w:link w:val="ab"/>
    <w:uiPriority w:val="99"/>
    <w:semiHidden/>
    <w:rsid w:val="00CD6F4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D6F44"/>
    <w:rPr>
      <w:vertAlign w:val="superscript"/>
    </w:rPr>
  </w:style>
  <w:style w:type="paragraph" w:styleId="NormalWeb">
    <w:name w:val="Normal (Web)"/>
    <w:basedOn w:val="a"/>
    <w:uiPriority w:val="99"/>
    <w:semiHidden/>
    <w:unhideWhenUsed/>
    <w:rsid w:val="0091367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7B7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ypt.co.il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&#1502;&#1505;&#1502;&#1499;&#1497;&#1501;\&#8235;&#1514;&#1489;&#1504;&#1497;&#1493;&#1514;%20&#1502;&#1493;&#1514;&#1488;&#1502;&#1493;&#1514;%20&#1488;&#1497;&#1513;&#1497;&#1514;%20&#1513;&#1500;%20Office&#8236;\&#1504;&#1497;&#1497;&#1512;%20&#1502;&#1499;&#1514;&#1489;&#1497;&#1501;%20&#1497;&#1513;&#1497;&#1489;&#1492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E0BCB-88E9-4BAB-8418-69240455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נייר מכתבים ישיבה</Template>
  <TotalTime>3</TotalTime>
  <Pages>2</Pages>
  <Words>407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Amit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יובל שרלו</dc:creator>
  <cp:lastModifiedBy>יובל שרלו</cp:lastModifiedBy>
  <cp:revision>1</cp:revision>
  <cp:lastPrinted>2014-07-02T10:57:00Z</cp:lastPrinted>
  <dcterms:created xsi:type="dcterms:W3CDTF">2026-05-25T16:42:00Z</dcterms:created>
  <dcterms:modified xsi:type="dcterms:W3CDTF">2026-05-25T16:45:00Z</dcterms:modified>
</cp:coreProperties>
</file>